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1A3689" w:rsidRPr="001A3689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生物刺激反馈仪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2023年</w:t>
      </w:r>
      <w:r w:rsidR="0018557E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12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月</w:t>
      </w:r>
      <w:r w:rsidR="000331E3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21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日</w:t>
      </w:r>
      <w:r w:rsidR="00F66383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前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，1</w:t>
      </w:r>
      <w:r w:rsidR="003D6AED"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A854AF" w:rsidRDefault="00DB4794" w:rsidP="00DB4794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电话：0315-2861591</w:t>
      </w:r>
    </w:p>
    <w:p w:rsidR="0035575C" w:rsidRPr="00A854AF" w:rsidRDefault="0035575C" w:rsidP="0035575C">
      <w:pPr>
        <w:widowControl/>
        <w:spacing w:line="315" w:lineRule="atLeast"/>
        <w:ind w:firstLineChars="1770" w:firstLine="4956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202</w:t>
      </w:r>
      <w:r w:rsidR="003D6AED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3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年</w:t>
      </w:r>
      <w:r w:rsidR="0018557E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12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月</w:t>
      </w:r>
      <w:r w:rsidR="0018557E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18</w:t>
      </w:r>
      <w:r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日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18557E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方正简体仿宋" w:eastAsia="方正简体仿宋" w:hAnsi="宋体" w:hint="eastAsia"/>
                <w:color w:val="000000"/>
                <w:sz w:val="28"/>
                <w:szCs w:val="28"/>
              </w:rPr>
              <w:t>生物刺激反馈仪</w:t>
            </w:r>
          </w:p>
        </w:tc>
        <w:tc>
          <w:tcPr>
            <w:tcW w:w="1134" w:type="dxa"/>
          </w:tcPr>
          <w:p w:rsidR="007D49B2" w:rsidRPr="00A854AF" w:rsidRDefault="0018557E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7D49B2" w:rsidRPr="00A854AF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7D49B2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</w:p>
    <w:p w:rsidR="0018557E" w:rsidRPr="00A854AF" w:rsidRDefault="0018557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18557E" w:rsidRPr="0018557E" w:rsidRDefault="00A854AF" w:rsidP="0018557E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lastRenderedPageBreak/>
        <w:t>基本技术要求</w:t>
      </w:r>
      <w:r w:rsidR="009E38FA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（参照）</w:t>
      </w:r>
    </w:p>
    <w:p w:rsidR="00D16178" w:rsidRPr="001A3689" w:rsidRDefault="0018557E" w:rsidP="001A3689">
      <w:pPr>
        <w:spacing w:line="240" w:lineRule="auto"/>
        <w:ind w:firstLineChars="350" w:firstLine="98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1、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注册证适应范围必须包括肌电信号采集、分析功能。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2、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主机多功能物理通道≥4个，其中≥4个电刺激通道（STIM），≥3个肌电采集通道（EMG）。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3、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肌电采集范围：2-2500μV（r.m.s）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4、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分辨率：≤0.5μV（r.m.s）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5、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电刺激脉冲宽度：至少在50-900μs范围内均可调，步进10μs可调节。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6、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电刺激脉冲频率：至少在1-500Hz范围内均可调，步进1Hz可调节。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7、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设备主机具备压力检测通道，可对配套压力气囊进行自动充放气与压力检测。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8、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盆底表面肌电标准评估（Glazer评估），对盆底肌肉进行全面且标准化的评估。评估指标包括：前静息平均值，前静息变异性，快速收缩上升时间，快速收缩最大值，快速收缩下降时间，持续收缩平均值，持续收缩变异性，耐久收缩平均值、耐久收缩变异性、耐久收缩后前10秒比值、后静息平均值，后静息变异性。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9、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系统自动对筛查、评估的每个阶段进行打分，并计算出整个过程的最终得分。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10、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具有盆底肌张力检测功能，使用压力探头，给出盆底肌张力相关测试值、参考值、张力-体积曲线、张力-时间曲线、并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lastRenderedPageBreak/>
        <w:t>给出报告。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11、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监测盆底肌电信号时，若腹肌肌电幅值高于阈值，则系统自动弹出提示标志，提醒患者减少腹部发力。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sz w:val="28"/>
          <w:szCs w:val="28"/>
        </w:rPr>
        <w:t>12、</w:t>
      </w:r>
      <w:r w:rsidR="00D16178" w:rsidRPr="001A3689">
        <w:rPr>
          <w:rFonts w:ascii="方正简体仿宋" w:eastAsia="方正简体仿宋" w:hAnsi="微软雅黑" w:cs="微软雅黑" w:hint="eastAsia"/>
          <w:sz w:val="28"/>
          <w:szCs w:val="28"/>
        </w:rPr>
        <w:t>系统支持自动生成磁电联合疗程化治疗方案，并实现与同品牌磁刺激类设备的实时数据同步共享。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13、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具有智能阴道训练牵张功能，可根据个体化差异自动调节气囊体积，进行个性化训练。</w:t>
      </w:r>
    </w:p>
    <w:p w:rsidR="00D16178" w:rsidRPr="001A3689" w:rsidRDefault="00D16178" w:rsidP="0018557E">
      <w:pPr>
        <w:pStyle w:val="aa"/>
        <w:numPr>
          <w:ilvl w:val="0"/>
          <w:numId w:val="48"/>
        </w:numPr>
        <w:ind w:firstLineChars="0"/>
        <w:jc w:val="left"/>
        <w:rPr>
          <w:rFonts w:ascii="方正简体仿宋" w:eastAsia="方正简体仿宋" w:hAnsi="微软雅黑" w:cs="微软雅黑" w:hint="eastAsia"/>
          <w:kern w:val="0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Kegel训练可采用肌电值和MVC%（最大随意收缩力的百分比）两种模式。其中MVC%模式可根据患者的自身情况，调节模板训练的难度，有助于科学训练。</w:t>
      </w:r>
    </w:p>
    <w:p w:rsidR="00D16178" w:rsidRPr="001A3689" w:rsidRDefault="0018557E" w:rsidP="0018557E">
      <w:pPr>
        <w:spacing w:line="240" w:lineRule="auto"/>
        <w:ind w:left="720"/>
        <w:jc w:val="left"/>
        <w:rPr>
          <w:rFonts w:ascii="方正简体仿宋" w:eastAsia="方正简体仿宋" w:hint="eastAsia"/>
          <w:sz w:val="28"/>
          <w:szCs w:val="28"/>
        </w:rPr>
      </w:pPr>
      <w:r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15、</w:t>
      </w:r>
      <w:r w:rsidR="00D16178" w:rsidRPr="001A3689">
        <w:rPr>
          <w:rFonts w:ascii="方正简体仿宋" w:eastAsia="方正简体仿宋" w:hAnsi="微软雅黑" w:cs="微软雅黑" w:hint="eastAsia"/>
          <w:kern w:val="0"/>
          <w:sz w:val="28"/>
          <w:szCs w:val="28"/>
        </w:rPr>
        <w:t>系统支持扫码读取患者信息，标配扫描器。</w:t>
      </w:r>
      <w:r w:rsidR="00D16178" w:rsidRPr="001A3689">
        <w:rPr>
          <w:rFonts w:ascii="方正简体仿宋" w:eastAsia="方正简体仿宋" w:hint="eastAsia"/>
          <w:sz w:val="28"/>
          <w:szCs w:val="28"/>
        </w:rPr>
        <w:t xml:space="preserve"> </w:t>
      </w:r>
    </w:p>
    <w:p w:rsidR="00A854AF" w:rsidRPr="00D16178" w:rsidRDefault="00A854AF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18557E" w:rsidRDefault="0018557E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18557E" w:rsidRDefault="0018557E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18557E" w:rsidRDefault="0018557E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18557E" w:rsidRDefault="0018557E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18557E" w:rsidRDefault="0018557E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18557E" w:rsidRDefault="0018557E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18557E" w:rsidRDefault="0018557E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18557E" w:rsidRDefault="0018557E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18557E" w:rsidRDefault="0018557E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18557E" w:rsidRDefault="0018557E" w:rsidP="003D6AED">
      <w:pPr>
        <w:pStyle w:val="aa"/>
        <w:ind w:left="-142" w:firstLineChars="50" w:firstLine="141"/>
        <w:rPr>
          <w:rFonts w:ascii="方正简体仿宋" w:eastAsia="方正简体仿宋" w:hint="eastAsia"/>
          <w:b/>
          <w:sz w:val="28"/>
          <w:szCs w:val="28"/>
        </w:rPr>
      </w:pPr>
    </w:p>
    <w:p w:rsidR="0035575C" w:rsidRPr="001A3689" w:rsidRDefault="0035575C" w:rsidP="001A3689">
      <w:pPr>
        <w:rPr>
          <w:rFonts w:ascii="方正简体仿宋" w:eastAsia="方正简体仿宋"/>
          <w:b/>
          <w:sz w:val="28"/>
          <w:szCs w:val="28"/>
        </w:rPr>
      </w:pPr>
      <w:r w:rsidRPr="001A3689">
        <w:rPr>
          <w:rFonts w:ascii="方正简体仿宋" w:eastAsia="方正简体仿宋" w:hint="eastAsia"/>
          <w:b/>
          <w:sz w:val="28"/>
          <w:szCs w:val="28"/>
        </w:rPr>
        <w:lastRenderedPageBreak/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C26F0F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lastRenderedPageBreak/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项目名称：</w:t>
      </w:r>
      <w:r w:rsidR="00C76EDA">
        <w:rPr>
          <w:rFonts w:ascii="方正简体仿宋" w:eastAsia="方正简体仿宋" w:hint="eastAsia"/>
          <w:b/>
          <w:bCs/>
          <w:kern w:val="44"/>
          <w:sz w:val="32"/>
          <w:szCs w:val="28"/>
          <w:u w:val="single"/>
        </w:rPr>
        <w:t>生物刺激反馈仪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61458E" w:rsidRPr="00A854AF" w:rsidRDefault="00A4138E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A4138E" w:rsidRDefault="00D923F2" w:rsidP="007D4FFE">
      <w:pPr>
        <w:rPr>
          <w:rFonts w:ascii="方正简体仿宋" w:eastAsia="方正简体仿宋" w:hint="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9E38FA" w:rsidRPr="009E38FA" w:rsidRDefault="009E38FA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生产企业类型(大型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中型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小型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微型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/>
          <w:b/>
          <w:bCs/>
          <w:kern w:val="44"/>
          <w:sz w:val="28"/>
          <w:szCs w:val="28"/>
        </w:rPr>
        <w:t>)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B4" w:rsidRDefault="007774B4">
      <w:pPr>
        <w:spacing w:line="240" w:lineRule="auto"/>
      </w:pPr>
      <w:r>
        <w:separator/>
      </w:r>
    </w:p>
  </w:endnote>
  <w:endnote w:type="continuationSeparator" w:id="1">
    <w:p w:rsidR="007774B4" w:rsidRDefault="00777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B4" w:rsidRDefault="007774B4">
      <w:r>
        <w:separator/>
      </w:r>
    </w:p>
  </w:footnote>
  <w:footnote w:type="continuationSeparator" w:id="1">
    <w:p w:rsidR="007774B4" w:rsidRDefault="00777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42C5D63"/>
    <w:multiLevelType w:val="hybridMultilevel"/>
    <w:tmpl w:val="078E22D6"/>
    <w:lvl w:ilvl="0" w:tplc="6270C1CA">
      <w:start w:val="14"/>
      <w:numFmt w:val="decimal"/>
      <w:lvlText w:val="%1、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2B0CE48"/>
    <w:multiLevelType w:val="singleLevel"/>
    <w:tmpl w:val="32B0CE48"/>
    <w:lvl w:ilvl="0">
      <w:start w:val="1"/>
      <w:numFmt w:val="decimal"/>
      <w:suff w:val="space"/>
      <w:lvlText w:val="%1."/>
      <w:lvlJc w:val="left"/>
    </w:lvl>
  </w:abstractNum>
  <w:abstractNum w:abstractNumId="18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0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4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6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38"/>
  </w:num>
  <w:num w:numId="5">
    <w:abstractNumId w:val="33"/>
  </w:num>
  <w:num w:numId="6">
    <w:abstractNumId w:val="30"/>
  </w:num>
  <w:num w:numId="7">
    <w:abstractNumId w:val="35"/>
  </w:num>
  <w:num w:numId="8">
    <w:abstractNumId w:val="12"/>
  </w:num>
  <w:num w:numId="9">
    <w:abstractNumId w:val="21"/>
  </w:num>
  <w:num w:numId="10">
    <w:abstractNumId w:val="44"/>
  </w:num>
  <w:num w:numId="11">
    <w:abstractNumId w:val="37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2"/>
  </w:num>
  <w:num w:numId="15">
    <w:abstractNumId w:val="5"/>
  </w:num>
  <w:num w:numId="16">
    <w:abstractNumId w:val="42"/>
  </w:num>
  <w:num w:numId="17">
    <w:abstractNumId w:val="2"/>
  </w:num>
  <w:num w:numId="18">
    <w:abstractNumId w:val="3"/>
  </w:num>
  <w:num w:numId="19">
    <w:abstractNumId w:val="8"/>
  </w:num>
  <w:num w:numId="20">
    <w:abstractNumId w:val="36"/>
  </w:num>
  <w:num w:numId="21">
    <w:abstractNumId w:val="20"/>
  </w:num>
  <w:num w:numId="22">
    <w:abstractNumId w:val="34"/>
  </w:num>
  <w:num w:numId="23">
    <w:abstractNumId w:val="28"/>
  </w:num>
  <w:num w:numId="24">
    <w:abstractNumId w:val="11"/>
  </w:num>
  <w:num w:numId="25">
    <w:abstractNumId w:val="10"/>
  </w:num>
  <w:num w:numId="26">
    <w:abstractNumId w:val="6"/>
  </w:num>
  <w:num w:numId="27">
    <w:abstractNumId w:val="41"/>
  </w:num>
  <w:num w:numId="28">
    <w:abstractNumId w:val="19"/>
  </w:num>
  <w:num w:numId="29">
    <w:abstractNumId w:val="16"/>
  </w:num>
  <w:num w:numId="30">
    <w:abstractNumId w:val="18"/>
  </w:num>
  <w:num w:numId="31">
    <w:abstractNumId w:val="15"/>
  </w:num>
  <w:num w:numId="32">
    <w:abstractNumId w:val="40"/>
  </w:num>
  <w:num w:numId="33">
    <w:abstractNumId w:val="1"/>
  </w:num>
  <w:num w:numId="34">
    <w:abstractNumId w:val="0"/>
  </w:num>
  <w:num w:numId="35">
    <w:abstractNumId w:val="26"/>
  </w:num>
  <w:num w:numId="36">
    <w:abstractNumId w:val="27"/>
  </w:num>
  <w:num w:numId="37">
    <w:abstractNumId w:val="45"/>
  </w:num>
  <w:num w:numId="38">
    <w:abstractNumId w:val="39"/>
  </w:num>
  <w:num w:numId="39">
    <w:abstractNumId w:val="23"/>
  </w:num>
  <w:num w:numId="40">
    <w:abstractNumId w:val="24"/>
  </w:num>
  <w:num w:numId="41">
    <w:abstractNumId w:val="46"/>
  </w:num>
  <w:num w:numId="42">
    <w:abstractNumId w:val="25"/>
  </w:num>
  <w:num w:numId="43">
    <w:abstractNumId w:val="29"/>
  </w:num>
  <w:num w:numId="44">
    <w:abstractNumId w:val="22"/>
  </w:num>
  <w:num w:numId="45">
    <w:abstractNumId w:val="43"/>
  </w:num>
  <w:num w:numId="46">
    <w:abstractNumId w:val="14"/>
  </w:num>
  <w:num w:numId="47">
    <w:abstractNumId w:val="17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5920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557E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3689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475"/>
    <w:rsid w:val="003239BD"/>
    <w:rsid w:val="003262AE"/>
    <w:rsid w:val="00326F66"/>
    <w:rsid w:val="00330D18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774B4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38FA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76EDA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178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53D-6F50-4FC3-9EA9-213DA60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SKUser</cp:lastModifiedBy>
  <cp:revision>4</cp:revision>
  <cp:lastPrinted>2023-08-23T00:01:00Z</cp:lastPrinted>
  <dcterms:created xsi:type="dcterms:W3CDTF">2023-12-18T03:28:00Z</dcterms:created>
  <dcterms:modified xsi:type="dcterms:W3CDTF">2023-12-18T03:57:00Z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